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5F55CE" w14:textId="77777777" w:rsidR="008F3C61" w:rsidRDefault="008F3C61" w:rsidP="008F3C61">
      <w:pPr>
        <w:jc w:val="center"/>
        <w:outlineLvl w:val="0"/>
        <w:rPr>
          <w:rFonts w:ascii="Times New Roman" w:eastAsia="Times New Roman" w:hAnsi="Times New Roman" w:cs="Times New Roman"/>
          <w:bCs/>
          <w:kern w:val="36"/>
        </w:rPr>
      </w:pPr>
      <w:r w:rsidRPr="008F3C61">
        <w:rPr>
          <w:rFonts w:ascii="Times New Roman" w:eastAsia="Times New Roman" w:hAnsi="Times New Roman" w:cs="Times New Roman"/>
          <w:bCs/>
          <w:kern w:val="36"/>
        </w:rPr>
        <w:t xml:space="preserve">Module </w:t>
      </w:r>
      <w:r>
        <w:rPr>
          <w:rFonts w:ascii="Times New Roman" w:eastAsia="Times New Roman" w:hAnsi="Times New Roman" w:cs="Times New Roman"/>
          <w:bCs/>
          <w:kern w:val="36"/>
        </w:rPr>
        <w:t xml:space="preserve">4 </w:t>
      </w:r>
      <w:r w:rsidRPr="008F3C61">
        <w:rPr>
          <w:rFonts w:ascii="Times New Roman" w:eastAsia="Times New Roman" w:hAnsi="Times New Roman" w:cs="Times New Roman"/>
          <w:bCs/>
          <w:kern w:val="36"/>
        </w:rPr>
        <w:t>Overview</w:t>
      </w:r>
    </w:p>
    <w:p w14:paraId="666BA9DC" w14:textId="77777777" w:rsidR="008F3C61" w:rsidRPr="008F3C61" w:rsidRDefault="008F3C61" w:rsidP="008F3C61">
      <w:pPr>
        <w:outlineLvl w:val="0"/>
        <w:rPr>
          <w:rFonts w:ascii="Times New Roman" w:eastAsia="Times New Roman" w:hAnsi="Times New Roman" w:cs="Times New Roman"/>
          <w:bCs/>
          <w:kern w:val="36"/>
        </w:rPr>
      </w:pPr>
    </w:p>
    <w:p w14:paraId="4B603796" w14:textId="77777777" w:rsidR="008F3C61" w:rsidRDefault="008F3C61" w:rsidP="008F3C61">
      <w:pPr>
        <w:pStyle w:val="NormalWeb"/>
        <w:spacing w:before="0" w:beforeAutospacing="0" w:after="0" w:afterAutospacing="0"/>
        <w:ind w:firstLine="720"/>
      </w:pPr>
      <w:r w:rsidRPr="008F3C61">
        <w:t xml:space="preserve">In the previous module, we focused on a celebrated literary text set in the former French colony of Algeria. This week we will shift our focus to the depiction of female gender roles in Marguerite Duras’s most famous novel, </w:t>
      </w:r>
      <w:r w:rsidRPr="008F3C61">
        <w:rPr>
          <w:rStyle w:val="Emphasis"/>
        </w:rPr>
        <w:t>The Lover</w:t>
      </w:r>
      <w:r w:rsidRPr="008F3C61">
        <w:t>, first published in 1984 and also set against the backdrop of French colonialism. Born of French parents in modern-day Vietnam (known under colonial rule as French Indochina), Duras spent most of her adult life in France and was active in the French Resistance during World War II. As we will see, Duras’s novel centers on the experience of her female protagonist within the colonial context. Of primary interest is the complicated power dynamics at play for the female subject of European descent in colonial territories. Duras’s novel problematizes the difficult position of the white woman in the colonial periphery, a position in which the female subject is both the exerciser and subject of power, both oppressor and oppressed.</w:t>
      </w:r>
    </w:p>
    <w:p w14:paraId="45414717" w14:textId="77777777" w:rsidR="008F3C61" w:rsidRPr="008F3C61" w:rsidRDefault="008F3C61" w:rsidP="008F3C61">
      <w:pPr>
        <w:pStyle w:val="NormalWeb"/>
        <w:spacing w:before="0" w:beforeAutospacing="0" w:after="0" w:afterAutospacing="0"/>
      </w:pPr>
    </w:p>
    <w:p w14:paraId="74510FC6" w14:textId="77777777" w:rsidR="008F3C61" w:rsidRDefault="008F3C61" w:rsidP="008F3C61">
      <w:pPr>
        <w:pStyle w:val="NormalWeb"/>
        <w:spacing w:before="0" w:beforeAutospacing="0" w:after="0" w:afterAutospacing="0"/>
        <w:ind w:firstLine="720"/>
      </w:pPr>
      <w:r w:rsidRPr="008F3C61">
        <w:t xml:space="preserve">Our previous readings for this course have centered on the (re)presentation of male protagonists as they have endeavored to navigate highly complex social and political contexts. From the dehumanizing forces of modernity at the heart of Europe in Kafka’s </w:t>
      </w:r>
      <w:r w:rsidRPr="008F3C61">
        <w:rPr>
          <w:rStyle w:val="Emphasis"/>
        </w:rPr>
        <w:t xml:space="preserve">The Metamorphosis </w:t>
      </w:r>
      <w:r w:rsidRPr="008F3C61">
        <w:t xml:space="preserve">to the stifling violence of Camus’s </w:t>
      </w:r>
      <w:r w:rsidRPr="008F3C61">
        <w:rPr>
          <w:rStyle w:val="Emphasis"/>
        </w:rPr>
        <w:t>The Stranger</w:t>
      </w:r>
      <w:r w:rsidRPr="008F3C61">
        <w:t>, we have seen how some of the world’s most illustrious authors have staged a program of imaginative deconstruction and reconstruction through their male lead characters. In the preceding novels, experimental techniques were deployed to imaginatively reconstitute an entropic and increasingly unintelligible world, to redefine and reinvigorate cultures on the brink of disintegration.</w:t>
      </w:r>
    </w:p>
    <w:p w14:paraId="64D717A3" w14:textId="77777777" w:rsidR="008F3C61" w:rsidRPr="008F3C61" w:rsidRDefault="008F3C61" w:rsidP="008F3C61">
      <w:pPr>
        <w:pStyle w:val="NormalWeb"/>
        <w:spacing w:before="0" w:beforeAutospacing="0" w:after="0" w:afterAutospacing="0"/>
      </w:pPr>
    </w:p>
    <w:p w14:paraId="2AB2BA08" w14:textId="77777777" w:rsidR="008F3C61" w:rsidRDefault="008F3C61" w:rsidP="008F3C61">
      <w:pPr>
        <w:pStyle w:val="NormalWeb"/>
        <w:spacing w:before="0" w:beforeAutospacing="0" w:after="0" w:afterAutospacing="0"/>
        <w:ind w:firstLine="720"/>
      </w:pPr>
      <w:r w:rsidRPr="008F3C61">
        <w:t>Duras’s novel, and most particularly her use of a European female protagonist, stages an even more complicated relationship between the lead character and her context. In the mid-twentieth century, Danish author Isak Dinesen, describing the European woman’s experience in colonial Africa, famously declared, “Here at long last one was in a position not to give a damn for all conventions, here was a new kind of freedom which until then one had only found in dreams!” (qtd. in Hannah 207). Though most notoriously articulated by Dinesen, this sense of the colonial periphery as the site of the European woman’s longed-for freedom was not new. Throughout the eighteenth and nineteenth centuries, European women with a spirit of adventure utilized the colonies as a theater of self-expression, a staging ground for the autonomy they could not exercise at home. (Though, to be sure, traditional family structures did play an important role in the colonial territories, with many imperial nations “exporting” young women to the colonies for the purposes of building families—and societies—according to the European model.)</w:t>
      </w:r>
    </w:p>
    <w:p w14:paraId="25979B60" w14:textId="77777777" w:rsidR="008F3C61" w:rsidRPr="008F3C61" w:rsidRDefault="008F3C61" w:rsidP="008F3C61">
      <w:pPr>
        <w:pStyle w:val="NormalWeb"/>
        <w:spacing w:before="0" w:beforeAutospacing="0" w:after="0" w:afterAutospacing="0"/>
      </w:pPr>
    </w:p>
    <w:p w14:paraId="44307CE1" w14:textId="77777777" w:rsidR="008F3C61" w:rsidRDefault="008F3C61" w:rsidP="008F3C61">
      <w:pPr>
        <w:pStyle w:val="NormalWeb"/>
        <w:spacing w:before="0" w:beforeAutospacing="0" w:after="0" w:afterAutospacing="0"/>
        <w:ind w:firstLine="720"/>
      </w:pPr>
      <w:r w:rsidRPr="008F3C61">
        <w:t xml:space="preserve">As we will see, however, the much-heralded freedom that European women were said to enjoy at the colonial periphery was not without its price, particularly in regard to the power dynamics between the European woman and colonized peoples. Indeed, the relationship between women and colonization is a much-discussed topic in postcolonial studies. On the one hand, European women were deeply implicated in supporting the imperialist project, both ideologically and materially. In </w:t>
      </w:r>
      <w:r w:rsidRPr="008F3C61">
        <w:rPr>
          <w:rStyle w:val="Emphasis"/>
        </w:rPr>
        <w:t>The Lover</w:t>
      </w:r>
      <w:r w:rsidRPr="008F3C61">
        <w:t xml:space="preserve">, for example, the relationship between the narrator’s mother and her housemaid Dô clearly illustrates a relation of power between colonizer and colonized. On the other hand, as women, both Europeans and women of color in the colonies experienced a kind of “Othering” to the male that in a sense erases demarcations of race, ethnicity, or class. In this sense, it is significant that the narrator’s lover in Duras’s novel is neither French nor Vietnamese </w:t>
      </w:r>
      <w:r w:rsidRPr="008F3C61">
        <w:lastRenderedPageBreak/>
        <w:t>but in fact the son of a wealthy Chinese family. By virtue of his class, gender, and age, the lover occupies a position of power over Duras’s 15-year-old narrator, who in turn benefits from the freedom and privileges of a white European female in the colonies.</w:t>
      </w:r>
    </w:p>
    <w:p w14:paraId="133396C3" w14:textId="77777777" w:rsidR="008F3C61" w:rsidRPr="008F3C61" w:rsidRDefault="008F3C61" w:rsidP="008F3C61">
      <w:pPr>
        <w:pStyle w:val="NormalWeb"/>
        <w:spacing w:before="0" w:beforeAutospacing="0" w:after="0" w:afterAutospacing="0"/>
      </w:pPr>
    </w:p>
    <w:p w14:paraId="3D2B7435" w14:textId="77777777" w:rsidR="008F3C61" w:rsidRDefault="008F3C61" w:rsidP="008F3C61">
      <w:pPr>
        <w:pStyle w:val="NormalWeb"/>
        <w:spacing w:before="0" w:beforeAutospacing="0" w:after="0" w:afterAutospacing="0"/>
        <w:ind w:firstLine="720"/>
      </w:pPr>
      <w:r w:rsidRPr="008F3C61">
        <w:t xml:space="preserve">While Duras’s novel is a powerful exploration of the contradictory intersections of categories of race, gender, age and class in the colonial periphery, it is also just as much a meditation on the interweaving of memory, history, and politics. Based on Duras’s own experience growing up in French Indochina, the novel is marked by the interweaving of past and present, fiction and biography, memory and history, the political and the personal. Indeed, the narrative of </w:t>
      </w:r>
      <w:r w:rsidRPr="008F3C61">
        <w:rPr>
          <w:rStyle w:val="Emphasis"/>
        </w:rPr>
        <w:t xml:space="preserve">The Lover </w:t>
      </w:r>
      <w:r w:rsidRPr="008F3C61">
        <w:t>is interrupted by politics on several occasions, perhaps most significantly through references to the death of the narrator’s younger brother’s during the Japanese occupation of French Indochina.</w:t>
      </w:r>
    </w:p>
    <w:p w14:paraId="4715E607" w14:textId="77777777" w:rsidR="008F3C61" w:rsidRPr="008F3C61" w:rsidRDefault="008F3C61" w:rsidP="008F3C61">
      <w:pPr>
        <w:pStyle w:val="NormalWeb"/>
        <w:spacing w:before="0" w:beforeAutospacing="0" w:after="0" w:afterAutospacing="0"/>
      </w:pPr>
    </w:p>
    <w:p w14:paraId="2E266D0A" w14:textId="77777777" w:rsidR="008F3C61" w:rsidRDefault="008F3C61" w:rsidP="008F3C61">
      <w:pPr>
        <w:pStyle w:val="NormalWeb"/>
        <w:spacing w:before="0" w:beforeAutospacing="0" w:after="0" w:afterAutospacing="0"/>
        <w:ind w:firstLine="720"/>
      </w:pPr>
      <w:r w:rsidRPr="008F3C61">
        <w:t>Finally, a short story by the influential Chinese modernist Eileen Chang, “Sealed Off,” first published in 1943, demonstrates a similar concern with the overlapping of private and public spheres. This time, the encounter between lovers takes place on a tram in Shanghai during Japanese occupation. The title “Sealed Off” can be interpreted as a reference to the closure of the city under occupation as well as an image for the lovers’ encounter itself: an encounter that seeks, however futilely, to free itself from the limitations of class and gender alongside those of history and politics. In the following module, we will continue to examine how female authors explore possibilities for women’s agency against the backdrop of an increasingly turbulent global context, extending our consideration of how both female and postcolonial authors “write back” to the male-dominated literary traditions we have considered in previous modules.</w:t>
      </w:r>
    </w:p>
    <w:p w14:paraId="1331F1F3" w14:textId="77777777" w:rsidR="008F3C61" w:rsidRPr="008F3C61" w:rsidRDefault="008F3C61" w:rsidP="008F3C61">
      <w:pPr>
        <w:pStyle w:val="NormalWeb"/>
        <w:spacing w:before="0" w:beforeAutospacing="0" w:after="0" w:afterAutospacing="0"/>
      </w:pPr>
    </w:p>
    <w:p w14:paraId="7E1BBE88" w14:textId="77777777" w:rsidR="008F3C61" w:rsidRDefault="008F3C61" w:rsidP="008F3C61">
      <w:pPr>
        <w:pStyle w:val="NormalWeb"/>
        <w:spacing w:before="0" w:beforeAutospacing="0" w:after="0" w:afterAutospacing="0"/>
        <w:jc w:val="center"/>
      </w:pPr>
      <w:r w:rsidRPr="008F3C61">
        <w:t>Works Cited</w:t>
      </w:r>
    </w:p>
    <w:p w14:paraId="09695DA6" w14:textId="77777777" w:rsidR="008F3C61" w:rsidRPr="008F3C61" w:rsidRDefault="008F3C61" w:rsidP="008F3C61">
      <w:pPr>
        <w:pStyle w:val="NormalWeb"/>
        <w:spacing w:before="0" w:beforeAutospacing="0" w:after="0" w:afterAutospacing="0"/>
      </w:pPr>
    </w:p>
    <w:p w14:paraId="2A3A4EB2" w14:textId="77777777" w:rsidR="008F3C61" w:rsidRDefault="008F3C61" w:rsidP="008F3C61">
      <w:pPr>
        <w:pStyle w:val="NormalWeb"/>
        <w:spacing w:before="0" w:beforeAutospacing="0" w:after="0" w:afterAutospacing="0"/>
      </w:pPr>
      <w:r w:rsidRPr="008F3C61">
        <w:t xml:space="preserve">Hannah, Donald. </w:t>
      </w:r>
      <w:r w:rsidRPr="008F3C61">
        <w:rPr>
          <w:rStyle w:val="Emphasis"/>
        </w:rPr>
        <w:t xml:space="preserve">“Isak Dinesen” and Karen Blixen: The Mask and the Reality. </w:t>
      </w:r>
      <w:r>
        <w:t>Random House,</w:t>
      </w:r>
    </w:p>
    <w:p w14:paraId="6ABECE92" w14:textId="4170352F" w:rsidR="00F234FD" w:rsidRPr="008F3C61" w:rsidRDefault="008F3C61" w:rsidP="00F234FD">
      <w:pPr>
        <w:pStyle w:val="NormalWeb"/>
        <w:spacing w:before="0" w:beforeAutospacing="0" w:after="0" w:afterAutospacing="0"/>
        <w:ind w:firstLine="720"/>
      </w:pPr>
      <w:r w:rsidRPr="008F3C61">
        <w:t>1971. Print.</w:t>
      </w:r>
      <w:bookmarkStart w:id="0" w:name="_GoBack"/>
      <w:bookmarkEnd w:id="0"/>
    </w:p>
    <w:sectPr w:rsidR="00F234FD" w:rsidRPr="008F3C61" w:rsidSect="00B45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C61"/>
    <w:rsid w:val="0001205A"/>
    <w:rsid w:val="00791339"/>
    <w:rsid w:val="008F3C61"/>
    <w:rsid w:val="00B45844"/>
    <w:rsid w:val="00F03755"/>
    <w:rsid w:val="00F234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407954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8F3C61"/>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C61"/>
    <w:rPr>
      <w:rFonts w:ascii="Times New Roman" w:hAnsi="Times New Roman" w:cs="Times New Roman"/>
      <w:b/>
      <w:bCs/>
      <w:kern w:val="36"/>
      <w:sz w:val="48"/>
      <w:szCs w:val="48"/>
    </w:rPr>
  </w:style>
  <w:style w:type="paragraph" w:styleId="NormalWeb">
    <w:name w:val="Normal (Web)"/>
    <w:basedOn w:val="Normal"/>
    <w:uiPriority w:val="99"/>
    <w:unhideWhenUsed/>
    <w:rsid w:val="008F3C61"/>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8F3C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793865">
      <w:bodyDiv w:val="1"/>
      <w:marLeft w:val="0"/>
      <w:marRight w:val="0"/>
      <w:marTop w:val="0"/>
      <w:marBottom w:val="0"/>
      <w:divBdr>
        <w:top w:val="none" w:sz="0" w:space="0" w:color="auto"/>
        <w:left w:val="none" w:sz="0" w:space="0" w:color="auto"/>
        <w:bottom w:val="none" w:sz="0" w:space="0" w:color="auto"/>
        <w:right w:val="none" w:sz="0" w:space="0" w:color="auto"/>
      </w:divBdr>
      <w:divsChild>
        <w:div w:id="62342423">
          <w:marLeft w:val="0"/>
          <w:marRight w:val="0"/>
          <w:marTop w:val="0"/>
          <w:marBottom w:val="0"/>
          <w:divBdr>
            <w:top w:val="none" w:sz="0" w:space="0" w:color="auto"/>
            <w:left w:val="none" w:sz="0" w:space="0" w:color="auto"/>
            <w:bottom w:val="none" w:sz="0" w:space="0" w:color="auto"/>
            <w:right w:val="none" w:sz="0" w:space="0" w:color="auto"/>
          </w:divBdr>
        </w:div>
      </w:divsChild>
    </w:div>
    <w:div w:id="1768649075">
      <w:bodyDiv w:val="1"/>
      <w:marLeft w:val="0"/>
      <w:marRight w:val="0"/>
      <w:marTop w:val="0"/>
      <w:marBottom w:val="0"/>
      <w:divBdr>
        <w:top w:val="none" w:sz="0" w:space="0" w:color="auto"/>
        <w:left w:val="none" w:sz="0" w:space="0" w:color="auto"/>
        <w:bottom w:val="none" w:sz="0" w:space="0" w:color="auto"/>
        <w:right w:val="none" w:sz="0" w:space="0" w:color="auto"/>
      </w:divBdr>
    </w:div>
    <w:div w:id="1910991222">
      <w:bodyDiv w:val="1"/>
      <w:marLeft w:val="0"/>
      <w:marRight w:val="0"/>
      <w:marTop w:val="0"/>
      <w:marBottom w:val="0"/>
      <w:divBdr>
        <w:top w:val="none" w:sz="0" w:space="0" w:color="auto"/>
        <w:left w:val="none" w:sz="0" w:space="0" w:color="auto"/>
        <w:bottom w:val="none" w:sz="0" w:space="0" w:color="auto"/>
        <w:right w:val="none" w:sz="0" w:space="0" w:color="auto"/>
      </w:divBdr>
    </w:div>
    <w:div w:id="19355526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857</Words>
  <Characters>4891</Characters>
  <Application>Microsoft Macintosh Word</Application>
  <DocSecurity>0</DocSecurity>
  <Lines>40</Lines>
  <Paragraphs>11</Paragraphs>
  <ScaleCrop>false</ScaleCrop>
  <LinksUpToDate>false</LinksUpToDate>
  <CharactersWithSpaces>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2018-10-28T00:13:00Z</dcterms:created>
  <dcterms:modified xsi:type="dcterms:W3CDTF">2018-10-28T00:18:00Z</dcterms:modified>
</cp:coreProperties>
</file>